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296000" cy="4822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482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i w:val="0"/>
          <w:color w:val="1F3A5F"/>
          <w:sz w:val="30"/>
          <w:szCs w:val="30"/>
          <w:bCs/>
        </w:rPr>
        <w:t>EXECUTION FAILURE DIAGNOSTIC</w:t>
      </w:r>
    </w:p>
    <w:p>
      <w:r>
        <w:rPr>
          <w:b w:val="0"/>
          <w:i w:val="0"/>
          <w:color w:val="666666"/>
          <w:sz w:val="16"/>
          <w:szCs w:val="16"/>
        </w:rPr>
        <w:t>EPM-JO Bootcamp · PMI Jordan Chapter × INJAZ mySTARTUP · Session 1 handout · Trainer: Deeb Haddad, PMP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  <w:tblLayout w:type="fixed"/>
        <w:tblW w:w="10659" w:type="dxa"/>
      </w:tblPr>
      <w:tblGrid>
        <w:gridCol w:w="10659"/>
      </w:tblGrid>
      <w:tr>
        <w:tc>
          <w:tcPr>
            <w:tcW w:type="dxa" w:w="10658"/>
            <w:shd w:val="clear" w:fill="E8EEF6"/>
          </w:tcPr>
          <w:p>
            <w:r>
              <w:rPr>
                <w:b/>
                <w:i w:val="0"/>
                <w:color w:val="1F3A5F"/>
                <w:sz w:val="20"/>
                <w:szCs w:val="20"/>
                <w:bCs/>
              </w:rPr>
              <w:t>Execution failure can be diagnosed. Every failure pattern shows early symptoms. Project management spots them early (discovery) and acts on them (resolution).</w:t>
            </w:r>
          </w:p>
        </w:tc>
      </w:tr>
    </w:tbl>
    <w:p/>
    <w:tbl>
      <w:tblPr>
        <w:tblLayout w:type="fixed"/>
        <w:tblLook w:firstColumn="1" w:firstRow="1" w:lastColumn="0" w:lastRow="0" w:noHBand="0" w:noVBand="1" w:val="04A0"/>
        <w:tblBorders>
          <w:top w:val="single" w:sz="4" w:color="8C8C8C"/>
          <w:left w:val="single" w:sz="4" w:color="8C8C8C"/>
          <w:bottom w:val="single" w:sz="4" w:color="8C8C8C"/>
          <w:right w:val="single" w:sz="4" w:color="8C8C8C"/>
          <w:insideH w:val="single" w:sz="4" w:color="8C8C8C"/>
          <w:insideV w:val="single" w:sz="4" w:color="8C8C8C"/>
        </w:tblBorders>
        <w:tblLayout w:type="fixed"/>
        <w:tblW w:w="10659" w:type="dxa"/>
      </w:tblPr>
      <w:tblGrid>
        <w:gridCol w:w="510"/>
        <w:gridCol w:w="1701"/>
        <w:gridCol w:w="1927"/>
        <w:gridCol w:w="2381"/>
        <w:gridCol w:w="2608"/>
        <w:gridCol w:w="1530"/>
      </w:tblGrid>
      <w:tr>
        <w:tc>
          <w:tcPr>
            <w:tcW w:type="dxa" w:w="510"/>
            <w:shd w:val="clear" w:fill="DCE6F2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#</w:t>
            </w:r>
          </w:p>
        </w:tc>
        <w:tc>
          <w:tcPr>
            <w:tcW w:type="dxa" w:w="1701"/>
            <w:shd w:val="clear" w:fill="DCE6F2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Pattern</w:t>
            </w:r>
          </w:p>
        </w:tc>
        <w:tc>
          <w:tcPr>
            <w:tcW w:type="dxa" w:w="1928"/>
            <w:shd w:val="clear" w:fill="DCE6F2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Early symptom</w:t>
            </w:r>
          </w:p>
        </w:tc>
        <w:tc>
          <w:tcPr>
            <w:tcW w:type="dxa" w:w="2381"/>
            <w:shd w:val="clear" w:fill="DCE6F2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Discover it with (PM practice)</w:t>
            </w:r>
          </w:p>
        </w:tc>
        <w:tc>
          <w:tcPr>
            <w:tcW w:type="dxa" w:w="2608"/>
            <w:shd w:val="clear" w:fill="DCE6F2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Resolve it with (PM practice)</w:t>
            </w:r>
          </w:p>
        </w:tc>
        <w:tc>
          <w:tcPr>
            <w:tcW w:type="dxa" w:w="1531"/>
            <w:shd w:val="clear" w:fill="DCE6F2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CAPM domain</w:t>
            </w:r>
          </w:p>
        </w:tc>
      </w:tr>
      <w:tr>
        <w:trPr>
          <w:trHeight w:val="1361" w:hRule="atLeast"/>
        </w:trPr>
        <w:tc>
          <w:tcPr>
            <w:tcW w:type="dxa" w:w="510"/>
          </w:tcPr>
          <w:p>
            <w:r>
              <w:rPr>
                <w:b/>
                <w:i w:val="0"/>
                <w:sz w:val="19"/>
                <w:szCs w:val="19"/>
                <w:bCs/>
              </w:rPr>
              <w:t>F1</w:t>
            </w:r>
          </w:p>
        </w:tc>
        <w:tc>
          <w:tcPr>
            <w:tcW w:type="dxa" w:w="1701"/>
          </w:tcPr>
          <w:p>
            <w:r>
              <w:rPr>
                <w:b/>
                <w:i w:val="0"/>
                <w:sz w:val="19"/>
                <w:szCs w:val="19"/>
                <w:bCs/>
              </w:rPr>
              <w:t>Building the wrong thing</w:t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  <w:szCs w:val="19"/>
              </w:rPr>
              <w:t>Features shipped, few paying users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9"/>
                <w:szCs w:val="19"/>
              </w:rPr>
              <w:t>Needs assessment; stakeholder analysis; interviews (elicitation)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sz w:val="19"/>
                <w:szCs w:val="19"/>
              </w:rPr>
              <w:t>Problem statement; acceptance criteria; test before building</w:t>
            </w:r>
          </w:p>
        </w:tc>
        <w:tc>
          <w:tcPr>
            <w:tcW w:type="dxa" w:w="1531"/>
          </w:tcPr>
          <w:p>
            <w:r>
              <w:rPr>
                <w:b w:val="0"/>
                <w:i w:val="0"/>
                <w:sz w:val="19"/>
                <w:szCs w:val="19"/>
              </w:rPr>
              <w:t>Business analysis</w:t>
            </w:r>
          </w:p>
        </w:tc>
      </w:tr>
      <w:tr>
        <w:trPr>
          <w:trHeight w:val="1361" w:hRule="atLeast"/>
        </w:trPr>
        <w:tc>
          <w:tcPr>
            <w:tcW w:type="dxa" w:w="510"/>
          </w:tcPr>
          <w:p>
            <w:r>
              <w:rPr>
                <w:b/>
                <w:i w:val="0"/>
                <w:sz w:val="19"/>
                <w:szCs w:val="19"/>
                <w:bCs/>
              </w:rPr>
              <w:t>F2</w:t>
            </w:r>
          </w:p>
        </w:tc>
        <w:tc>
          <w:tcPr>
            <w:tcW w:type="dxa" w:w="1701"/>
          </w:tcPr>
          <w:p>
            <w:r>
              <w:rPr>
                <w:b/>
                <w:i w:val="0"/>
                <w:sz w:val="19"/>
                <w:szCs w:val="19"/>
                <w:bCs/>
              </w:rPr>
              <w:t>Cash runs out before evidence</w:t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  <w:szCs w:val="19"/>
              </w:rPr>
              <w:t>Nobody can state the monthly burn or the runway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9"/>
                <w:szCs w:val="19"/>
              </w:rPr>
              <w:t>Cost baseline; planned vs. actual spend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sz w:val="19"/>
                <w:szCs w:val="19"/>
              </w:rPr>
              <w:t>Spend per proven milestone; runway = cash ÷ net monthly burn</w:t>
            </w:r>
          </w:p>
        </w:tc>
        <w:tc>
          <w:tcPr>
            <w:tcW w:type="dxa" w:w="1531"/>
          </w:tcPr>
          <w:p>
            <w:r>
              <w:rPr>
                <w:b w:val="0"/>
                <w:i w:val="0"/>
                <w:sz w:val="19"/>
                <w:szCs w:val="19"/>
              </w:rPr>
              <w:t>Predictive</w:t>
            </w:r>
          </w:p>
        </w:tc>
      </w:tr>
      <w:tr>
        <w:trPr>
          <w:trHeight w:val="1361" w:hRule="atLeast"/>
        </w:trPr>
        <w:tc>
          <w:tcPr>
            <w:tcW w:type="dxa" w:w="510"/>
          </w:tcPr>
          <w:p>
            <w:r>
              <w:rPr>
                <w:b/>
                <w:i w:val="0"/>
                <w:sz w:val="19"/>
                <w:szCs w:val="19"/>
                <w:bCs/>
              </w:rPr>
              <w:t>F3</w:t>
            </w:r>
          </w:p>
        </w:tc>
        <w:tc>
          <w:tcPr>
            <w:tcW w:type="dxa" w:w="1701"/>
          </w:tcPr>
          <w:p>
            <w:r>
              <w:rPr>
                <w:b/>
                <w:i w:val="0"/>
                <w:sz w:val="19"/>
                <w:szCs w:val="19"/>
                <w:bCs/>
              </w:rPr>
              <w:t>Everything urgent, nothing finished</w:t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  <w:szCs w:val="19"/>
              </w:rPr>
              <w:t>Many tasks in progress, few done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9"/>
                <w:szCs w:val="19"/>
              </w:rPr>
              <w:t>Visible backlog; Kanban board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sz w:val="19"/>
                <w:szCs w:val="19"/>
              </w:rPr>
              <w:t>MoSCoW; work-in-progress limit; one sprint goal</w:t>
            </w:r>
          </w:p>
        </w:tc>
        <w:tc>
          <w:tcPr>
            <w:tcW w:type="dxa" w:w="1531"/>
          </w:tcPr>
          <w:p>
            <w:r>
              <w:rPr>
                <w:b w:val="0"/>
                <w:i w:val="0"/>
                <w:sz w:val="19"/>
                <w:szCs w:val="19"/>
              </w:rPr>
              <w:t>Agile</w:t>
            </w:r>
          </w:p>
        </w:tc>
      </w:tr>
      <w:tr>
        <w:trPr>
          <w:trHeight w:val="1361" w:hRule="atLeast"/>
        </w:trPr>
        <w:tc>
          <w:tcPr>
            <w:tcW w:type="dxa" w:w="510"/>
          </w:tcPr>
          <w:p>
            <w:r>
              <w:rPr>
                <w:b/>
                <w:i w:val="0"/>
                <w:sz w:val="19"/>
                <w:szCs w:val="19"/>
                <w:bCs/>
              </w:rPr>
              <w:t>F4</w:t>
            </w:r>
          </w:p>
        </w:tc>
        <w:tc>
          <w:tcPr>
            <w:tcW w:type="dxa" w:w="1701"/>
          </w:tcPr>
          <w:p>
            <w:r>
              <w:rPr>
                <w:b/>
                <w:i w:val="0"/>
                <w:sz w:val="19"/>
                <w:szCs w:val="19"/>
                <w:bCs/>
              </w:rPr>
              <w:t>Nobody owns it / founder deadlock</w:t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  <w:szCs w:val="19"/>
              </w:rPr>
              <w:t>Tasks fall between founders; the same arguments repeat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9"/>
                <w:szCs w:val="19"/>
              </w:rPr>
              <w:t>RACI (responsibility matrix)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sz w:val="19"/>
                <w:szCs w:val="19"/>
              </w:rPr>
              <w:t>One accountable owner; decision rights; escalation rule</w:t>
            </w:r>
          </w:p>
        </w:tc>
        <w:tc>
          <w:tcPr>
            <w:tcW w:type="dxa" w:w="1531"/>
          </w:tcPr>
          <w:p>
            <w:r>
              <w:rPr>
                <w:b w:val="0"/>
                <w:i w:val="0"/>
                <w:sz w:val="19"/>
                <w:szCs w:val="19"/>
              </w:rPr>
              <w:t>Fundamentals</w:t>
            </w:r>
          </w:p>
        </w:tc>
      </w:tr>
      <w:tr>
        <w:trPr>
          <w:trHeight w:val="1361" w:hRule="atLeast"/>
        </w:trPr>
        <w:tc>
          <w:tcPr>
            <w:tcW w:type="dxa" w:w="510"/>
          </w:tcPr>
          <w:p>
            <w:r>
              <w:rPr>
                <w:b/>
                <w:i w:val="0"/>
                <w:sz w:val="19"/>
                <w:szCs w:val="19"/>
                <w:bCs/>
              </w:rPr>
              <w:t>F5</w:t>
            </w:r>
          </w:p>
        </w:tc>
        <w:tc>
          <w:tcPr>
            <w:tcW w:type="dxa" w:w="1701"/>
          </w:tcPr>
          <w:p>
            <w:r>
              <w:rPr>
                <w:b/>
                <w:i w:val="0"/>
                <w:sz w:val="19"/>
                <w:szCs w:val="19"/>
                <w:bCs/>
              </w:rPr>
              <w:t>Surprises that block launch</w:t>
            </w:r>
          </w:p>
        </w:tc>
        <w:tc>
          <w:tcPr>
            <w:tcW w:type="dxa" w:w="1928"/>
          </w:tcPr>
          <w:p>
            <w:r>
              <w:rPr>
                <w:b w:val="0"/>
                <w:i w:val="0"/>
                <w:sz w:val="19"/>
                <w:szCs w:val="19"/>
              </w:rPr>
              <w:t>Launch stopped by a legal, tax, data or supplier issue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9"/>
                <w:szCs w:val="19"/>
              </w:rPr>
              <w:t>Risk identification; assumption and constraint log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sz w:val="19"/>
                <w:szCs w:val="19"/>
              </w:rPr>
              <w:t>Risk register with owner, response and trigger</w:t>
            </w:r>
          </w:p>
        </w:tc>
        <w:tc>
          <w:tcPr>
            <w:tcW w:type="dxa" w:w="1531"/>
          </w:tcPr>
          <w:p>
            <w:r>
              <w:rPr>
                <w:b w:val="0"/>
                <w:i w:val="0"/>
                <w:sz w:val="19"/>
                <w:szCs w:val="19"/>
              </w:rPr>
              <w:t>Fundamentals; predictive</w:t>
            </w:r>
          </w:p>
        </w:tc>
      </w:tr>
    </w:tbl>
    <w:p/>
    <w:p>
      <w:r>
        <w:rPr>
          <w:b w:val="0"/>
          <w:i/>
          <w:color w:val="666666"/>
          <w:sz w:val="16"/>
          <w:szCs w:val="16"/>
        </w:rPr>
        <w:t>Global data, not Jordan statistics: CB Insights (2021, 111 startup post-mortems) — founders cited running out of cash or failing to raise (38%) and no market need (35%) as top reasons. Running out of cash is usually a symptom (F2) of F1, F3 or F4.</w:t>
      </w:r>
    </w:p>
    <w:p/>
    <w:tbl>
      <w:tblPr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  <w:tblLayout w:type="fixed"/>
        <w:tblW w:w="10659" w:type="dxa"/>
      </w:tblPr>
      <w:tblGrid>
        <w:gridCol w:w="5329"/>
        <w:gridCol w:w="5329"/>
      </w:tblGrid>
      <w:tr>
        <w:tc>
          <w:tcPr>
            <w:tcW w:type="dxa" w:w="5329"/>
          </w:tcPr>
          <w:p>
            <w:r>
              <w:rPr>
                <w:b/>
                <w:i w:val="0"/>
                <w:color w:val="1F3A5F"/>
                <w:sz w:val="22"/>
                <w:szCs w:val="22"/>
                <w:bCs/>
              </w:rPr>
              <w:t>Three types of work</w:t>
            </w:r>
          </w:p>
          <w:p>
            <w:r>
              <w:rPr>
                <w:b w:val="0"/>
                <w:i w:val="0"/>
                <w:sz w:val="20"/>
                <w:szCs w:val="20"/>
              </w:rPr>
              <w:t>• Project — temporary, unique result (MVP v1, registration, a pilot)</w:t>
            </w:r>
          </w:p>
          <w:p>
            <w:r>
              <w:rPr>
                <w:b w:val="0"/>
                <w:i w:val="0"/>
                <w:sz w:val="20"/>
                <w:szCs w:val="20"/>
              </w:rPr>
              <w:t>• Operation — ongoing and repeated (support, accounting, deliveries)</w:t>
            </w:r>
          </w:p>
          <w:p>
            <w:r>
              <w:rPr>
                <w:b w:val="0"/>
                <w:i w:val="0"/>
                <w:sz w:val="20"/>
                <w:szCs w:val="20"/>
              </w:rPr>
              <w:t>• Experiment — a small test to learn, then decide</w:t>
            </w:r>
          </w:p>
        </w:tc>
        <w:tc>
          <w:tcPr>
            <w:tcW w:type="dxa" w:w="5329"/>
          </w:tcPr>
          <w:p>
            <w:r>
              <w:rPr>
                <w:b/>
                <w:i w:val="0"/>
                <w:color w:val="1F3A5F"/>
                <w:sz w:val="22"/>
                <w:szCs w:val="22"/>
                <w:bCs/>
              </w:rPr>
              <w:t>Approach by stage</w:t>
            </w:r>
          </w:p>
          <w:p>
            <w:r>
              <w:rPr>
                <w:b w:val="0"/>
                <w:i w:val="0"/>
                <w:sz w:val="20"/>
                <w:szCs w:val="20"/>
              </w:rPr>
              <w:t>• Idea / validation → experiments</w:t>
            </w:r>
          </w:p>
          <w:p>
            <w:r>
              <w:rPr>
                <w:b w:val="0"/>
                <w:i w:val="0"/>
                <w:sz w:val="20"/>
                <w:szCs w:val="20"/>
              </w:rPr>
              <w:t>• MVP → agile sprints inside fixed milestones</w:t>
            </w:r>
          </w:p>
          <w:p>
            <w:r>
              <w:rPr>
                <w:b w:val="0"/>
                <w:i w:val="0"/>
                <w:sz w:val="20"/>
                <w:szCs w:val="20"/>
              </w:rPr>
              <w:t>• Operating → hybrid: fixed = legal, tax (e.g. JoFotara), contracts, funder milestones; flexible = features</w:t>
            </w:r>
          </w:p>
        </w:tc>
      </w:tr>
    </w:tbl>
    <w:p/>
    <w:p>
      <w:r>
        <w:rPr>
          <w:b/>
          <w:i w:val="0"/>
          <w:color w:val="1F3A5F"/>
          <w:sz w:val="22"/>
          <w:szCs w:val="22"/>
          <w:bCs/>
        </w:rPr>
        <w:t>Where each pattern is solved today</w:t>
      </w:r>
    </w:p>
    <w:p>
      <w:r>
        <w:rPr>
          <w:b w:val="0"/>
          <w:i w:val="0"/>
          <w:sz w:val="18"/>
          <w:szCs w:val="18"/>
        </w:rPr>
        <w:t>F2 → Session 2 (plan and budget) · F1 → Session 3 (assumption testing) · F3 → Sessions 4 and 6 (backlog, rhythm) · F4 and F5 → Session 5 (risks, roles, decision rights)</w:t>
      </w:r>
    </w:p>
    <w:p/>
    <w:p>
      <w:r>
        <w:rPr>
          <w:b w:val="0"/>
          <w:i/>
          <w:color w:val="666666"/>
          <w:sz w:val="15"/>
          <w:szCs w:val="15"/>
        </w:rPr>
        <w:t>Framework: trainer's synthesis of CB Insights post-mortem data and PMI practice (PMBOK® Guide, Agile Practice Guide, CAPM exam content outline). Handbook: nxemtech-startup.nextmtech.com</w:t>
      </w:r>
    </w:p>
    <w:sectPr w:rsidR="00FC693F" w:rsidRPr="0006063C" w:rsidSect="00034616">
      <w:pgSz w:w="11906" w:h="16838"/>
      <w:pgMar w:top="431" w:right="624" w:bottom="454" w:left="624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