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296000" cy="482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82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b/>
          <w:i w:val="0"/>
          <w:color w:val="1F3A5F"/>
          <w:sz w:val="30"/>
          <w:rtl/>
          <w:szCs w:val="30"/>
          <w:bCs/>
        </w:rPr>
        <w:t>التشخيص الخماسي لفشل التنفيذ</w:t>
      </w:r>
    </w:p>
    <w:p>
      <w:pPr>
        <w:bidi/>
      </w:pPr>
      <w:r>
        <w:rPr>
          <w:b w:val="0"/>
          <w:i w:val="0"/>
          <w:color w:val="666666"/>
          <w:sz w:val="16"/>
          <w:rtl/>
          <w:szCs w:val="16"/>
        </w:rPr>
        <w:t>EPM-JO Bootcamp · PMI Jordan Chapter × INJAZ mySTARTUP · نشرة الجلسة 1 · المدرب: ذيب حداد، PMP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  <w:bidiVisual/>
        <w:tblLayout w:type="fixed"/>
        <w:tblW w:w="10659" w:type="dxa"/>
      </w:tblPr>
      <w:tblGrid>
        <w:gridCol w:w="10659"/>
      </w:tblGrid>
      <w:tr>
        <w:tc>
          <w:tcPr>
            <w:tcW w:type="dxa" w:w="10658"/>
            <w:shd w:val="clear" w:fill="E8EEF6"/>
          </w:tcPr>
          <w:p>
            <w:pPr>
              <w:bidi/>
            </w:pPr>
            <w:r>
              <w:rPr>
                <w:b/>
                <w:i w:val="0"/>
                <w:color w:val="1F3A5F"/>
                <w:sz w:val="20"/>
                <w:rtl/>
                <w:szCs w:val="20"/>
                <w:bCs/>
              </w:rPr>
              <w:t>فشل التنفيذ يمكن تشخيصه. لكل نمط فشل أعراض مبكرة، وإدارة المشاريع ترصدها مبكراً (الاكتشاف) وتتعامل معها (المعالجة).</w:t>
            </w:r>
          </w:p>
        </w:tc>
      </w:tr>
    </w:tbl>
    <w:p>
      <w:pPr>
        <w:bidi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bidiVisual/>
        <w:tblLayout w:type="fixed"/>
        <w:tblW w:w="10659" w:type="dxa"/>
      </w:tblPr>
      <w:tblGrid>
        <w:gridCol w:w="510"/>
        <w:gridCol w:w="1701"/>
        <w:gridCol w:w="1927"/>
        <w:gridCol w:w="2381"/>
        <w:gridCol w:w="2608"/>
        <w:gridCol w:w="1530"/>
      </w:tblGrid>
      <w:tr>
        <w:tc>
          <w:tcPr>
            <w:tcW w:type="dxa" w:w="510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#</w:t>
            </w:r>
          </w:p>
        </w:tc>
        <w:tc>
          <w:tcPr>
            <w:tcW w:type="dxa" w:w="1701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النمط</w:t>
            </w:r>
          </w:p>
        </w:tc>
        <w:tc>
          <w:tcPr>
            <w:tcW w:type="dxa" w:w="1928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العَرَض المبكر</w:t>
            </w:r>
          </w:p>
        </w:tc>
        <w:tc>
          <w:tcPr>
            <w:tcW w:type="dxa" w:w="2381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يُكتشف عبر (ممارسة إدارة المشاريع)</w:t>
            </w:r>
          </w:p>
        </w:tc>
        <w:tc>
          <w:tcPr>
            <w:tcW w:type="dxa" w:w="2608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يُعالج عبر (ممارسة إدارة المشاريع)</w:t>
            </w:r>
          </w:p>
        </w:tc>
        <w:tc>
          <w:tcPr>
            <w:tcW w:type="dxa" w:w="1531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مجال CAPM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F1</w:t>
            </w:r>
          </w:p>
        </w:tc>
        <w:tc>
          <w:tcPr>
            <w:tcW w:type="dxa" w:w="1701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بناء الشيء الخطأ</w:t>
            </w:r>
          </w:p>
        </w:tc>
        <w:tc>
          <w:tcPr>
            <w:tcW w:type="dxa" w:w="192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ميزات مُسلَّمة وعملاء دافعون قليلون</w:t>
            </w:r>
          </w:p>
        </w:tc>
        <w:tc>
          <w:tcPr>
            <w:tcW w:type="dxa" w:w="238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تقييم الاحتياجات؛ تحليل أصحاب المصلحة؛ المقابلات (Elicitation)</w:t>
            </w:r>
          </w:p>
        </w:tc>
        <w:tc>
          <w:tcPr>
            <w:tcW w:type="dxa" w:w="260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بيان المشكلة؛ معايير القبول؛ الاختبار قبل البناء</w:t>
            </w:r>
          </w:p>
        </w:tc>
        <w:tc>
          <w:tcPr>
            <w:tcW w:type="dxa" w:w="153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تحليل الأعمال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F2</w:t>
            </w:r>
          </w:p>
        </w:tc>
        <w:tc>
          <w:tcPr>
            <w:tcW w:type="dxa" w:w="1701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نفاد النقد قبل توفر الأدلة</w:t>
            </w:r>
          </w:p>
        </w:tc>
        <w:tc>
          <w:tcPr>
            <w:tcW w:type="dxa" w:w="192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لا أحد يعرف الإنفاق الشهري أو المدى النقدي</w:t>
            </w:r>
          </w:p>
        </w:tc>
        <w:tc>
          <w:tcPr>
            <w:tcW w:type="dxa" w:w="238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خط أساس التكلفة؛ الإنفاق المخطط مقابل الفعلي</w:t>
            </w:r>
          </w:p>
        </w:tc>
        <w:tc>
          <w:tcPr>
            <w:tcW w:type="dxa" w:w="260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الإنفاق مقابل معالم مُثبتة؛ المدى النقدي = النقد ÷ صافي الإنفاق الشهري</w:t>
            </w:r>
          </w:p>
        </w:tc>
        <w:tc>
          <w:tcPr>
            <w:tcW w:type="dxa" w:w="153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التنبؤية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F3</w:t>
            </w:r>
          </w:p>
        </w:tc>
        <w:tc>
          <w:tcPr>
            <w:tcW w:type="dxa" w:w="1701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كل شيء عاجل ولا شيء يكتمل</w:t>
            </w:r>
          </w:p>
        </w:tc>
        <w:tc>
          <w:tcPr>
            <w:tcW w:type="dxa" w:w="192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مهام كثيرة قيد التنفيذ وقليل منجز</w:t>
            </w:r>
          </w:p>
        </w:tc>
        <w:tc>
          <w:tcPr>
            <w:tcW w:type="dxa" w:w="238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قائمة عمل ظاهرة (Backlog)؛ لوحة Kanban</w:t>
            </w:r>
          </w:p>
        </w:tc>
        <w:tc>
          <w:tcPr>
            <w:tcW w:type="dxa" w:w="260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MoSCoW؛ حد العمل الجاري (WIP)؛ هدف واحد للدورة</w:t>
            </w:r>
          </w:p>
        </w:tc>
        <w:tc>
          <w:tcPr>
            <w:tcW w:type="dxa" w:w="153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الرشيقة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F4</w:t>
            </w:r>
          </w:p>
        </w:tc>
        <w:tc>
          <w:tcPr>
            <w:tcW w:type="dxa" w:w="1701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لا مالك / جمود بين المؤسسين</w:t>
            </w:r>
          </w:p>
        </w:tc>
        <w:tc>
          <w:tcPr>
            <w:tcW w:type="dxa" w:w="192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مهام تضيع بين المؤسسين وخلافات متكررة</w:t>
            </w:r>
          </w:p>
        </w:tc>
        <w:tc>
          <w:tcPr>
            <w:tcW w:type="dxa" w:w="238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مصفوفة RACI</w:t>
            </w:r>
          </w:p>
        </w:tc>
        <w:tc>
          <w:tcPr>
            <w:tcW w:type="dxa" w:w="260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مالك مساءَل واحد؛ صلاحيات القرار؛ قاعدة تصعيد</w:t>
            </w:r>
          </w:p>
        </w:tc>
        <w:tc>
          <w:tcPr>
            <w:tcW w:type="dxa" w:w="153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الأساسيات</w:t>
            </w:r>
          </w:p>
        </w:tc>
      </w:tr>
      <w:tr>
        <w:trPr>
          <w:trHeight w:val="1361" w:hRule="atLeast"/>
        </w:trPr>
        <w:tc>
          <w:tcPr>
            <w:tcW w:type="dxa" w:w="510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F5</w:t>
            </w:r>
          </w:p>
        </w:tc>
        <w:tc>
          <w:tcPr>
            <w:tcW w:type="dxa" w:w="1701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مفاجآت توقف الإطلاق</w:t>
            </w:r>
          </w:p>
        </w:tc>
        <w:tc>
          <w:tcPr>
            <w:tcW w:type="dxa" w:w="192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توقف الإطلاق لمسألة قانونية أو ضريبية أو بيانات أو مورّد</w:t>
            </w:r>
          </w:p>
        </w:tc>
        <w:tc>
          <w:tcPr>
            <w:tcW w:type="dxa" w:w="238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تحديد المخاطر؛ سجل الافتراضات والقيود</w:t>
            </w:r>
          </w:p>
        </w:tc>
        <w:tc>
          <w:tcPr>
            <w:tcW w:type="dxa" w:w="2608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سجل المخاطر مع مالك واستجابة ومؤشر تفعيل</w:t>
            </w:r>
          </w:p>
        </w:tc>
        <w:tc>
          <w:tcPr>
            <w:tcW w:type="dxa" w:w="1531"/>
          </w:tcPr>
          <w:p>
            <w:pPr>
              <w:bidi/>
            </w:pPr>
            <w:r>
              <w:rPr>
                <w:b w:val="0"/>
                <w:i w:val="0"/>
                <w:sz w:val="19"/>
                <w:rtl/>
                <w:szCs w:val="19"/>
              </w:rPr>
              <w:t>الأساسيات؛ التنبؤية</w:t>
            </w:r>
          </w:p>
        </w:tc>
      </w:tr>
    </w:tbl>
    <w:p>
      <w:pPr>
        <w:bidi/>
      </w:pPr>
    </w:p>
    <w:p>
      <w:pPr>
        <w:bidi/>
      </w:pPr>
      <w:r>
        <w:rPr>
          <w:b w:val="0"/>
          <w:i/>
          <w:color w:val="666666"/>
          <w:sz w:val="16"/>
          <w:rtl/>
          <w:szCs w:val="16"/>
        </w:rPr>
        <w:t>بيانات عالمية وليست إحصاءات أردنية: وفق CB Insights (2021، تحليل 111 حالة إغلاق) ذكر المؤسسون نفاد النقد أو تعذّر التمويل (38%) وعدم وجود حاجة في السوق (35%) أبرز الأسباب. ونفاد النقد غالباً عَرَض (F2) لأحد الأنماط F1 أو F3 أو F4.</w:t>
      </w:r>
    </w:p>
    <w:p>
      <w:pPr>
        <w:bidi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  <w:bidiVisual/>
        <w:tblLayout w:type="fixed"/>
        <w:tblW w:w="10659" w:type="dxa"/>
      </w:tblPr>
      <w:tblGrid>
        <w:gridCol w:w="5329"/>
        <w:gridCol w:w="5329"/>
      </w:tblGrid>
      <w:tr>
        <w:tc>
          <w:tcPr>
            <w:tcW w:type="dxa" w:w="5329"/>
          </w:tcPr>
          <w:p>
            <w:pPr>
              <w:bidi/>
            </w:pPr>
            <w:r>
              <w:rPr>
                <w:b/>
                <w:i w:val="0"/>
                <w:color w:val="1F3A5F"/>
                <w:sz w:val="22"/>
                <w:rtl/>
                <w:szCs w:val="22"/>
                <w:bCs/>
              </w:rPr>
              <w:t>ثلاثة أنواع من العمل</w:t>
            </w:r>
          </w:p>
          <w:p>
            <w:pPr>
              <w:bidi/>
            </w:pPr>
            <w:r>
              <w:rPr>
                <w:b w:val="0"/>
                <w:i w:val="0"/>
                <w:sz w:val="20"/>
                <w:rtl/>
                <w:szCs w:val="20"/>
              </w:rPr>
              <w:t>• المشروع — مؤقت بنتيجة فريدة (المنتج الأولي، التسجيل، تجربة تشغيلية)</w:t>
            </w:r>
          </w:p>
          <w:p>
            <w:pPr>
              <w:bidi/>
            </w:pPr>
            <w:r>
              <w:rPr>
                <w:b w:val="0"/>
                <w:i w:val="0"/>
                <w:sz w:val="20"/>
                <w:rtl/>
                <w:szCs w:val="20"/>
              </w:rPr>
              <w:t>• العمليات — مستمرة ومتكررة (الدعم، المحاسبة، التوصيل)</w:t>
            </w:r>
          </w:p>
          <w:p>
            <w:pPr>
              <w:bidi/>
            </w:pPr>
            <w:r>
              <w:rPr>
                <w:b w:val="0"/>
                <w:i w:val="0"/>
                <w:sz w:val="20"/>
                <w:rtl/>
                <w:szCs w:val="20"/>
              </w:rPr>
              <w:t>• التجربة — اختبار صغير للتعلّم ثم القرار</w:t>
            </w:r>
          </w:p>
        </w:tc>
        <w:tc>
          <w:tcPr>
            <w:tcW w:type="dxa" w:w="5329"/>
          </w:tcPr>
          <w:p>
            <w:pPr>
              <w:bidi/>
            </w:pPr>
            <w:r>
              <w:rPr>
                <w:b/>
                <w:i w:val="0"/>
                <w:color w:val="1F3A5F"/>
                <w:sz w:val="22"/>
                <w:rtl/>
                <w:szCs w:val="22"/>
                <w:bCs/>
              </w:rPr>
              <w:t>المنهجية حسب المرحلة</w:t>
            </w:r>
          </w:p>
          <w:p>
            <w:pPr>
              <w:bidi/>
            </w:pPr>
            <w:r>
              <w:rPr>
                <w:b w:val="0"/>
                <w:i w:val="0"/>
                <w:sz w:val="20"/>
                <w:rtl/>
                <w:szCs w:val="20"/>
              </w:rPr>
              <w:t>• الفكرة / التحقق ← تجارب</w:t>
            </w:r>
          </w:p>
          <w:p>
            <w:pPr>
              <w:bidi/>
            </w:pPr>
            <w:r>
              <w:rPr>
                <w:b w:val="0"/>
                <w:i w:val="0"/>
                <w:sz w:val="20"/>
                <w:rtl/>
                <w:szCs w:val="20"/>
              </w:rPr>
              <w:t>• المنتج الأولي (MVP) ← دورات رشيقة ضمن معالم ثابتة</w:t>
            </w:r>
          </w:p>
          <w:p>
            <w:pPr>
              <w:bidi/>
            </w:pPr>
            <w:r>
              <w:rPr>
                <w:b w:val="0"/>
                <w:i w:val="0"/>
                <w:sz w:val="20"/>
                <w:rtl/>
                <w:szCs w:val="20"/>
              </w:rPr>
              <w:t>• التشغيل ← هجينة: ثابت = القانوني والضريبي (مثل JoFotara) والعقود ومعالم الممولين؛ مرن = الميزات</w:t>
            </w:r>
          </w:p>
        </w:tc>
      </w:tr>
    </w:tbl>
    <w:p>
      <w:pPr>
        <w:bidi/>
      </w:pPr>
    </w:p>
    <w:p>
      <w:pPr>
        <w:bidi/>
      </w:pPr>
      <w:r>
        <w:rPr>
          <w:b/>
          <w:i w:val="0"/>
          <w:color w:val="1F3A5F"/>
          <w:sz w:val="22"/>
          <w:rtl/>
          <w:szCs w:val="22"/>
          <w:bCs/>
        </w:rPr>
        <w:t>أين يُعالج كل نمط اليوم</w:t>
      </w:r>
    </w:p>
    <w:p>
      <w:pPr>
        <w:bidi/>
      </w:pPr>
      <w:r>
        <w:rPr>
          <w:b w:val="0"/>
          <w:i w:val="0"/>
          <w:sz w:val="18"/>
          <w:rtl/>
          <w:szCs w:val="18"/>
        </w:rPr>
        <w:t>F2 ← الجلسة 2 (الخطة والموازنة) · F1 ← الجلسة 3 (اختبار الافتراضات) · F3 ← الجلستان 4 و6 (قائمة العمل، الإيقاع) · F4 وF5 ← الجلسة 5 (المخاطر، الأدوار، صلاحيات القرار)</w:t>
      </w:r>
    </w:p>
    <w:p>
      <w:pPr>
        <w:bidi/>
      </w:pPr>
    </w:p>
    <w:p>
      <w:pPr>
        <w:bidi/>
      </w:pPr>
      <w:r>
        <w:rPr>
          <w:b w:val="0"/>
          <w:i/>
          <w:color w:val="666666"/>
          <w:sz w:val="15"/>
          <w:rtl/>
          <w:szCs w:val="15"/>
        </w:rPr>
        <w:t>الإطار: خلاصة من إعداد المدرب لبيانات CB Insights وممارسات PMI (PMBOK® Guide، Agile Practice Guide، مخطط محتوى امتحان CAPM). الدليل: nxemtech-startup.nextmtech.com</w:t>
      </w:r>
    </w:p>
    <w:sectPr w:rsidR="00FC693F" w:rsidRPr="0006063C" w:rsidSect="00034616">
      <w:pgSz w:w="11906" w:h="16838"/>
      <w:pgMar w:top="431" w:right="624" w:bottom="454" w:left="624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